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15F3" w14:textId="77777777" w:rsidR="00EB1C5A" w:rsidRPr="00E14EC2" w:rsidRDefault="00EB1C5A" w:rsidP="004321DB">
      <w:pPr>
        <w:pStyle w:val="F2-zkladn"/>
        <w:rPr>
          <w:b/>
          <w:sz w:val="28"/>
          <w:szCs w:val="28"/>
        </w:rPr>
      </w:pPr>
      <w:r>
        <w:rPr>
          <w:b/>
          <w:sz w:val="28"/>
          <w:szCs w:val="28"/>
        </w:rPr>
        <w:t>TISKOVÁ ZPRÁVA</w:t>
      </w:r>
    </w:p>
    <w:p w14:paraId="3730F680" w14:textId="35F3DA3F" w:rsidR="00EB1C5A" w:rsidRDefault="00EB1C5A" w:rsidP="004321DB">
      <w:pPr>
        <w:pStyle w:val="F2-zkladn"/>
        <w:tabs>
          <w:tab w:val="right" w:pos="9070"/>
        </w:tabs>
      </w:pPr>
      <w:r>
        <w:tab/>
      </w:r>
      <w:r w:rsidR="7C25CE9C">
        <w:t xml:space="preserve"> </w:t>
      </w:r>
      <w:r w:rsidR="00BE16A9">
        <w:t xml:space="preserve">Praha, </w:t>
      </w:r>
      <w:r w:rsidR="00CA237E">
        <w:t>23</w:t>
      </w:r>
      <w:r w:rsidR="00BE16A9" w:rsidRPr="001665B3">
        <w:t>.</w:t>
      </w:r>
      <w:r w:rsidR="00BE16A9">
        <w:t xml:space="preserve"> </w:t>
      </w:r>
      <w:r w:rsidR="00CB5D30">
        <w:t>dubna</w:t>
      </w:r>
      <w:r w:rsidR="625BE913">
        <w:t xml:space="preserve"> </w:t>
      </w:r>
      <w:r w:rsidR="00BE16A9">
        <w:t>202</w:t>
      </w:r>
      <w:r w:rsidR="00A05DF4">
        <w:t>6</w:t>
      </w:r>
    </w:p>
    <w:p w14:paraId="1D4672CB" w14:textId="77777777" w:rsidR="007A39B8" w:rsidRDefault="007A39B8" w:rsidP="007A39B8">
      <w:pPr>
        <w:tabs>
          <w:tab w:val="right" w:pos="9070"/>
        </w:tabs>
        <w:spacing w:after="0" w:line="264" w:lineRule="auto"/>
        <w:jc w:val="both"/>
        <w:rPr>
          <w:rFonts w:ascii="Arial" w:hAnsi="Arial" w:cs="Arial"/>
          <w:b/>
          <w:bCs/>
          <w:sz w:val="24"/>
          <w:szCs w:val="24"/>
        </w:rPr>
      </w:pPr>
    </w:p>
    <w:p w14:paraId="20A50E59" w14:textId="77777777" w:rsidR="005E16B6" w:rsidRDefault="005E16B6" w:rsidP="007A39B8">
      <w:pPr>
        <w:tabs>
          <w:tab w:val="right" w:pos="9070"/>
        </w:tabs>
        <w:spacing w:after="0" w:line="264" w:lineRule="auto"/>
        <w:jc w:val="center"/>
        <w:rPr>
          <w:rFonts w:ascii="Arial" w:hAnsi="Arial" w:cs="Arial"/>
          <w:b/>
          <w:bCs/>
          <w:sz w:val="26"/>
          <w:szCs w:val="26"/>
        </w:rPr>
      </w:pPr>
    </w:p>
    <w:p w14:paraId="2E9BDB58" w14:textId="77777777" w:rsidR="00CB5D30" w:rsidRDefault="00CB5D30" w:rsidP="00A05DF4">
      <w:pPr>
        <w:pStyle w:val="Default"/>
        <w:spacing w:line="264" w:lineRule="auto"/>
        <w:jc w:val="center"/>
        <w:rPr>
          <w:rFonts w:eastAsia="Calibri"/>
          <w:b/>
          <w:bCs/>
          <w:color w:val="auto"/>
          <w:sz w:val="26"/>
          <w:szCs w:val="26"/>
        </w:rPr>
      </w:pPr>
    </w:p>
    <w:p w14:paraId="7468DF0A" w14:textId="095A2850" w:rsidR="00A05DF4" w:rsidRDefault="00200DBF" w:rsidP="005500FE">
      <w:pPr>
        <w:pStyle w:val="Default"/>
        <w:spacing w:line="264" w:lineRule="auto"/>
        <w:jc w:val="both"/>
        <w:rPr>
          <w:rFonts w:eastAsia="Times New Roman"/>
          <w:b/>
          <w:bCs/>
          <w:sz w:val="22"/>
          <w:szCs w:val="22"/>
          <w:lang w:eastAsia="cs-CZ"/>
        </w:rPr>
      </w:pPr>
      <w:r w:rsidRPr="00200DBF">
        <w:rPr>
          <w:rFonts w:eastAsia="Calibri"/>
          <w:b/>
          <w:bCs/>
          <w:color w:val="auto"/>
          <w:sz w:val="26"/>
          <w:szCs w:val="26"/>
        </w:rPr>
        <w:t>Český M&amp;A trh se propadl, region CEE táhla transakce za téměř 10 miliard eur</w:t>
      </w:r>
    </w:p>
    <w:p w14:paraId="762E144B" w14:textId="77777777" w:rsidR="00CB5D30" w:rsidRDefault="00CB5D30" w:rsidP="005500FE">
      <w:pPr>
        <w:pStyle w:val="Default"/>
        <w:spacing w:line="264" w:lineRule="auto"/>
        <w:jc w:val="both"/>
        <w:rPr>
          <w:rFonts w:eastAsia="Times New Roman"/>
          <w:b/>
          <w:bCs/>
          <w:sz w:val="22"/>
          <w:szCs w:val="22"/>
          <w:lang w:eastAsia="cs-CZ"/>
        </w:rPr>
      </w:pPr>
    </w:p>
    <w:p w14:paraId="360CF0E8" w14:textId="6FD0D4CB" w:rsidR="0046142A" w:rsidRDefault="00CB5D30" w:rsidP="005500FE">
      <w:pPr>
        <w:pStyle w:val="Default"/>
        <w:spacing w:line="264" w:lineRule="auto"/>
        <w:jc w:val="both"/>
        <w:rPr>
          <w:rFonts w:eastAsia="Times New Roman"/>
          <w:b/>
          <w:bCs/>
          <w:sz w:val="22"/>
          <w:szCs w:val="22"/>
          <w:lang w:eastAsia="cs-CZ"/>
        </w:rPr>
      </w:pPr>
      <w:r w:rsidRPr="00CB5D30">
        <w:rPr>
          <w:rFonts w:eastAsia="Times New Roman"/>
          <w:b/>
          <w:bCs/>
          <w:sz w:val="22"/>
          <w:szCs w:val="22"/>
          <w:lang w:eastAsia="cs-CZ"/>
        </w:rPr>
        <w:t>Počet i objem transakcí na trhu fúzí a akvizic v České republice v letošním prvním čtvrtletí meziročně klesl. Na území ČR či se zapojením ČR se uskutečnilo 18 transakcí, zatímco ve stejném období loni to bylo 20 transakcí. Zveřejněný objem transakcí činil čtyři miliony eur (97,5 milionu Kč), zatímco loni to bylo 737 milionů eur (cca 18 miliard Kč). Objem transakcí výrazně klesl jak proti předchozímu kvartálu, tak i meziročně</w:t>
      </w:r>
      <w:r w:rsidR="00200DBF">
        <w:rPr>
          <w:rFonts w:eastAsia="Times New Roman"/>
          <w:b/>
          <w:bCs/>
          <w:sz w:val="22"/>
          <w:szCs w:val="22"/>
          <w:lang w:eastAsia="cs-CZ"/>
        </w:rPr>
        <w:t>.</w:t>
      </w:r>
      <w:r w:rsidR="0046142A" w:rsidRPr="0046142A">
        <w:rPr>
          <w:rFonts w:eastAsia="Times New Roman"/>
          <w:b/>
          <w:bCs/>
          <w:sz w:val="22"/>
          <w:szCs w:val="22"/>
          <w:lang w:eastAsia="cs-CZ"/>
        </w:rPr>
        <w:t xml:space="preserve"> </w:t>
      </w:r>
      <w:r w:rsidR="0046142A" w:rsidRPr="00200DBF">
        <w:rPr>
          <w:rFonts w:eastAsia="Times New Roman"/>
          <w:b/>
          <w:bCs/>
          <w:sz w:val="22"/>
          <w:szCs w:val="22"/>
          <w:lang w:eastAsia="cs-CZ"/>
        </w:rPr>
        <w:t xml:space="preserve">Vyplývá to </w:t>
      </w:r>
      <w:r w:rsidR="0046142A">
        <w:rPr>
          <w:rFonts w:eastAsia="Times New Roman"/>
          <w:b/>
          <w:bCs/>
          <w:sz w:val="22"/>
          <w:szCs w:val="22"/>
          <w:lang w:eastAsia="cs-CZ"/>
        </w:rPr>
        <w:t>z pravidelných statistik poradenské společnosti TPA.</w:t>
      </w:r>
    </w:p>
    <w:p w14:paraId="4E742513" w14:textId="77777777" w:rsidR="00643279" w:rsidRDefault="00643279" w:rsidP="005500FE">
      <w:pPr>
        <w:pStyle w:val="Default"/>
        <w:spacing w:line="264" w:lineRule="auto"/>
        <w:jc w:val="both"/>
        <w:rPr>
          <w:rFonts w:eastAsia="Times New Roman"/>
          <w:b/>
          <w:bCs/>
          <w:sz w:val="22"/>
          <w:szCs w:val="22"/>
          <w:lang w:eastAsia="cs-CZ"/>
        </w:rPr>
      </w:pPr>
    </w:p>
    <w:p w14:paraId="137EE87A" w14:textId="391D2034" w:rsidR="00CB5D30" w:rsidRDefault="00643279" w:rsidP="00643279">
      <w:pPr>
        <w:pStyle w:val="Default"/>
        <w:spacing w:line="264" w:lineRule="auto"/>
        <w:jc w:val="both"/>
      </w:pPr>
      <w:r w:rsidRPr="00643279">
        <w:rPr>
          <w:rFonts w:eastAsia="Times New Roman"/>
          <w:sz w:val="22"/>
          <w:szCs w:val="22"/>
          <w:lang w:eastAsia="cs-CZ"/>
        </w:rPr>
        <w:t xml:space="preserve">Pokles objemu je dán především nízkou transparentností trhu – v prvním čtvrtletí byla zveřejněna kupní cena pouze u jediné transakce. </w:t>
      </w:r>
      <w:r w:rsidR="002B5F47">
        <w:rPr>
          <w:rFonts w:eastAsia="Times New Roman"/>
          <w:sz w:val="22"/>
          <w:szCs w:val="22"/>
          <w:lang w:eastAsia="cs-CZ"/>
        </w:rPr>
        <w:t>Jednalo se o</w:t>
      </w:r>
      <w:r w:rsidRPr="00643279">
        <w:rPr>
          <w:rFonts w:eastAsia="Times New Roman"/>
          <w:sz w:val="22"/>
          <w:szCs w:val="22"/>
          <w:lang w:eastAsia="cs-CZ"/>
        </w:rPr>
        <w:t xml:space="preserve"> akvizici příbramské společnosti ACS International, dodavatele elektrotechnických řešení a energetických celků, kterou koupila skupina 2JCP ze skupiny Jet Investment</w:t>
      </w:r>
      <w:r>
        <w:rPr>
          <w:rFonts w:eastAsia="Times New Roman"/>
          <w:sz w:val="22"/>
          <w:szCs w:val="22"/>
          <w:lang w:eastAsia="cs-CZ"/>
        </w:rPr>
        <w:t xml:space="preserve"> </w:t>
      </w:r>
      <w:r w:rsidRPr="00643279">
        <w:rPr>
          <w:rFonts w:eastAsia="Times New Roman"/>
          <w:sz w:val="22"/>
          <w:szCs w:val="22"/>
          <w:lang w:eastAsia="cs-CZ"/>
        </w:rPr>
        <w:t>Igora Faita.</w:t>
      </w:r>
      <w:r>
        <w:rPr>
          <w:rFonts w:eastAsia="Times New Roman"/>
          <w:sz w:val="22"/>
          <w:szCs w:val="22"/>
          <w:lang w:eastAsia="cs-CZ"/>
        </w:rPr>
        <w:t xml:space="preserve"> </w:t>
      </w:r>
      <w:r w:rsidR="00CB5D30" w:rsidRPr="00643279">
        <w:rPr>
          <w:i/>
          <w:iCs/>
          <w:sz w:val="22"/>
          <w:szCs w:val="22"/>
        </w:rPr>
        <w:t>„Nízká míra cenové transparentnosti odráží přetrvávající tendenci účastníků trhu v</w:t>
      </w:r>
      <w:r w:rsidR="00CB5D30" w:rsidRPr="00643279">
        <w:rPr>
          <w:i/>
          <w:iCs/>
        </w:rPr>
        <w:t> </w:t>
      </w:r>
      <w:r w:rsidR="00CB5D30" w:rsidRPr="00643279">
        <w:rPr>
          <w:i/>
          <w:iCs/>
          <w:sz w:val="22"/>
          <w:szCs w:val="22"/>
        </w:rPr>
        <w:t>České</w:t>
      </w:r>
      <w:r w:rsidR="00CB5D30" w:rsidRPr="00643279">
        <w:rPr>
          <w:i/>
          <w:iCs/>
        </w:rPr>
        <w:t xml:space="preserve"> </w:t>
      </w:r>
      <w:r w:rsidR="00CB5D30" w:rsidRPr="00643279">
        <w:rPr>
          <w:i/>
          <w:iCs/>
          <w:sz w:val="22"/>
          <w:szCs w:val="22"/>
        </w:rPr>
        <w:t xml:space="preserve">republice nezveřejňovat podmínky uskutečněných transakcí,“ </w:t>
      </w:r>
      <w:r w:rsidR="00900988">
        <w:t xml:space="preserve">uvedl </w:t>
      </w:r>
      <w:r w:rsidR="00CB5D30" w:rsidRPr="00CB5D30">
        <w:t>Jiří Hlaváč partner TPA Valuation &amp; Advisory.</w:t>
      </w:r>
    </w:p>
    <w:p w14:paraId="336BDE44" w14:textId="77777777" w:rsidR="00643279" w:rsidRPr="00643279" w:rsidRDefault="00643279" w:rsidP="00643279">
      <w:pPr>
        <w:pStyle w:val="Default"/>
        <w:spacing w:line="264" w:lineRule="auto"/>
        <w:jc w:val="both"/>
        <w:rPr>
          <w:rFonts w:eastAsia="Times New Roman"/>
          <w:sz w:val="22"/>
          <w:szCs w:val="22"/>
          <w:lang w:eastAsia="cs-CZ"/>
        </w:rPr>
      </w:pPr>
    </w:p>
    <w:p w14:paraId="6AC7D0BA" w14:textId="23170DD8" w:rsidR="00CB5D30" w:rsidRPr="00CB5D30" w:rsidRDefault="00CB5D30" w:rsidP="005500FE">
      <w:pPr>
        <w:pStyle w:val="Default"/>
        <w:spacing w:line="264" w:lineRule="auto"/>
        <w:jc w:val="both"/>
        <w:rPr>
          <w:rFonts w:eastAsia="Times New Roman"/>
          <w:sz w:val="22"/>
          <w:szCs w:val="22"/>
          <w:lang w:eastAsia="cs-CZ"/>
        </w:rPr>
      </w:pPr>
      <w:r w:rsidRPr="00CB5D30">
        <w:rPr>
          <w:rFonts w:eastAsia="Times New Roman"/>
          <w:sz w:val="22"/>
          <w:szCs w:val="22"/>
          <w:lang w:eastAsia="cs-CZ"/>
        </w:rPr>
        <w:t>V celém středoevropském regionu (Albánie, Bulharsko, Černá Hora, Česká republika, Chorvatsko, Maďarsko, Polsko, Rakousko, Rumunsko, Slovensko, Slovinsko a Srbsko) TPA registruje meziroční růst počtu i objemu transakcí. Za první čtvrtletí se v regionu uskutečnilo 217 transakcí, tedy meziročně o 38 více. Objem transakcí stoupl na 14,5 miliardy eur (zhruba 353,5 miliardy Kč) z 5,2 miliardy eur (126,8 miliardy Kč) ve stejném období loni. Nejvíce transakcí bylo zaznamenáno opět v Polsku. To si díky největší transakci udrželo i výrazné prvenství z hlediska celkového objemu.</w:t>
      </w:r>
    </w:p>
    <w:p w14:paraId="583365E5" w14:textId="77777777" w:rsidR="00CB5D30" w:rsidRDefault="00CB5D30" w:rsidP="005500FE">
      <w:pPr>
        <w:pStyle w:val="Default"/>
        <w:spacing w:line="264" w:lineRule="auto"/>
        <w:jc w:val="both"/>
        <w:rPr>
          <w:rFonts w:eastAsia="Times New Roman"/>
          <w:b/>
          <w:bCs/>
          <w:sz w:val="22"/>
          <w:szCs w:val="22"/>
          <w:lang w:eastAsia="cs-CZ"/>
        </w:rPr>
      </w:pPr>
    </w:p>
    <w:p w14:paraId="0B1032F7" w14:textId="1827F0B0" w:rsidR="00CB5D30" w:rsidRDefault="00CB5D30" w:rsidP="00CB5D30">
      <w:pPr>
        <w:pStyle w:val="Default"/>
        <w:spacing w:line="264" w:lineRule="auto"/>
        <w:jc w:val="both"/>
        <w:rPr>
          <w:rFonts w:eastAsia="Times New Roman"/>
          <w:sz w:val="22"/>
          <w:szCs w:val="22"/>
          <w:lang w:eastAsia="cs-CZ"/>
        </w:rPr>
      </w:pPr>
      <w:r w:rsidRPr="00CB5D30">
        <w:rPr>
          <w:rFonts w:eastAsia="Times New Roman"/>
          <w:sz w:val="22"/>
          <w:szCs w:val="22"/>
          <w:lang w:eastAsia="cs-CZ"/>
        </w:rPr>
        <w:t xml:space="preserve">Nejvýznamnější zveřejněnou transakcí v regionu byla v prvním čtvrtletí akvizice lucembursko-polské logistické společnosti InPost, která provozuje síť více než 61 000 automatických výdejních boxů napříč Evropou. Kupujícím se stalo konsorcium složené ze společností Advent International, FedEx, A&amp;R Investments a PPF Group. </w:t>
      </w:r>
      <w:r w:rsidRPr="00900988">
        <w:rPr>
          <w:rFonts w:eastAsia="Times New Roman"/>
          <w:i/>
          <w:iCs/>
          <w:sz w:val="22"/>
          <w:szCs w:val="22"/>
          <w:lang w:eastAsia="cs-CZ"/>
        </w:rPr>
        <w:t>„</w:t>
      </w:r>
      <w:r w:rsidR="00900988" w:rsidRPr="00900988">
        <w:rPr>
          <w:rFonts w:eastAsia="Times New Roman"/>
          <w:i/>
          <w:iCs/>
          <w:sz w:val="22"/>
          <w:szCs w:val="22"/>
          <w:lang w:eastAsia="cs-CZ"/>
        </w:rPr>
        <w:t>Konzorcium</w:t>
      </w:r>
      <w:r w:rsidRPr="00900988">
        <w:rPr>
          <w:rFonts w:eastAsia="Times New Roman"/>
          <w:i/>
          <w:iCs/>
          <w:sz w:val="22"/>
          <w:szCs w:val="22"/>
          <w:lang w:eastAsia="cs-CZ"/>
        </w:rPr>
        <w:t xml:space="preserve"> za 100% podíl nabídlo cenu 15,60 EUR za akcii, odpovídající</w:t>
      </w:r>
      <w:r w:rsidR="00900988" w:rsidRPr="00900988">
        <w:rPr>
          <w:rFonts w:eastAsia="Times New Roman"/>
          <w:i/>
          <w:iCs/>
          <w:sz w:val="22"/>
          <w:szCs w:val="22"/>
          <w:lang w:eastAsia="cs-CZ"/>
        </w:rPr>
        <w:t xml:space="preserve"> </w:t>
      </w:r>
      <w:r w:rsidRPr="00900988">
        <w:rPr>
          <w:rFonts w:eastAsia="Times New Roman"/>
          <w:i/>
          <w:iCs/>
          <w:sz w:val="22"/>
          <w:szCs w:val="22"/>
          <w:lang w:eastAsia="cs-CZ"/>
        </w:rPr>
        <w:t xml:space="preserve">celkové hodnotě přibližně </w:t>
      </w:r>
      <w:r w:rsidRPr="0046142A">
        <w:rPr>
          <w:rFonts w:eastAsia="Times New Roman"/>
          <w:i/>
          <w:iCs/>
          <w:sz w:val="22"/>
          <w:szCs w:val="22"/>
          <w:lang w:eastAsia="cs-CZ"/>
        </w:rPr>
        <w:t xml:space="preserve">9,8 </w:t>
      </w:r>
      <w:r w:rsidR="0046142A" w:rsidRPr="0046142A">
        <w:rPr>
          <w:rFonts w:eastAsia="Times New Roman"/>
          <w:i/>
          <w:iCs/>
          <w:sz w:val="22"/>
          <w:szCs w:val="22"/>
          <w:lang w:eastAsia="cs-CZ"/>
        </w:rPr>
        <w:t>miliardy</w:t>
      </w:r>
      <w:r w:rsidRPr="0046142A">
        <w:rPr>
          <w:rFonts w:eastAsia="Times New Roman"/>
          <w:i/>
          <w:iCs/>
          <w:sz w:val="22"/>
          <w:szCs w:val="22"/>
          <w:lang w:eastAsia="cs-CZ"/>
        </w:rPr>
        <w:t xml:space="preserve"> eur.</w:t>
      </w:r>
      <w:r w:rsidRPr="00900988">
        <w:rPr>
          <w:rFonts w:eastAsia="Times New Roman"/>
          <w:i/>
          <w:iCs/>
          <w:sz w:val="22"/>
          <w:szCs w:val="22"/>
          <w:lang w:eastAsia="cs-CZ"/>
        </w:rPr>
        <w:t xml:space="preserve"> Transakce dosud není dokončena a její vypořádání se očekává ve druhé polovině roku 2026 po obdržení souhlasu akcionářů a regulatorních orgánů,“</w:t>
      </w:r>
      <w:r w:rsidRPr="00CB5D30">
        <w:rPr>
          <w:rFonts w:eastAsia="Times New Roman"/>
          <w:sz w:val="22"/>
          <w:szCs w:val="22"/>
          <w:lang w:eastAsia="cs-CZ"/>
        </w:rPr>
        <w:t xml:space="preserve"> </w:t>
      </w:r>
      <w:r w:rsidR="00900988">
        <w:rPr>
          <w:rFonts w:eastAsia="Times New Roman"/>
          <w:sz w:val="22"/>
          <w:szCs w:val="22"/>
          <w:lang w:eastAsia="cs-CZ"/>
        </w:rPr>
        <w:t>doplnil Jiří Hlaváč</w:t>
      </w:r>
      <w:r w:rsidRPr="00CB5D30">
        <w:rPr>
          <w:rFonts w:eastAsia="Times New Roman"/>
          <w:sz w:val="22"/>
          <w:szCs w:val="22"/>
          <w:lang w:eastAsia="cs-CZ"/>
        </w:rPr>
        <w:t>.</w:t>
      </w:r>
    </w:p>
    <w:p w14:paraId="1B8A7A12" w14:textId="77777777" w:rsidR="00900988" w:rsidRDefault="00900988" w:rsidP="00CB5D30">
      <w:pPr>
        <w:pStyle w:val="Default"/>
        <w:spacing w:line="264" w:lineRule="auto"/>
        <w:jc w:val="both"/>
        <w:rPr>
          <w:rFonts w:eastAsia="Times New Roman"/>
          <w:sz w:val="22"/>
          <w:szCs w:val="22"/>
          <w:lang w:eastAsia="cs-CZ"/>
        </w:rPr>
      </w:pPr>
    </w:p>
    <w:p w14:paraId="1F130F66" w14:textId="08777869" w:rsidR="00900988" w:rsidRDefault="00900988" w:rsidP="00CB5D30">
      <w:pPr>
        <w:pStyle w:val="Default"/>
        <w:spacing w:line="264" w:lineRule="auto"/>
        <w:jc w:val="both"/>
        <w:rPr>
          <w:rFonts w:eastAsia="Times New Roman"/>
          <w:sz w:val="22"/>
          <w:szCs w:val="22"/>
          <w:lang w:eastAsia="cs-CZ"/>
        </w:rPr>
      </w:pPr>
      <w:r w:rsidRPr="00900988">
        <w:rPr>
          <w:rFonts w:eastAsia="Times New Roman"/>
          <w:sz w:val="22"/>
          <w:szCs w:val="22"/>
          <w:lang w:eastAsia="cs-CZ"/>
        </w:rPr>
        <w:t>Situac</w:t>
      </w:r>
      <w:r w:rsidR="00200DBF">
        <w:rPr>
          <w:rFonts w:eastAsia="Times New Roman"/>
          <w:sz w:val="22"/>
          <w:szCs w:val="22"/>
          <w:lang w:eastAsia="cs-CZ"/>
        </w:rPr>
        <w:t>e</w:t>
      </w:r>
      <w:r w:rsidRPr="00900988">
        <w:rPr>
          <w:rFonts w:eastAsia="Times New Roman"/>
          <w:sz w:val="22"/>
          <w:szCs w:val="22"/>
          <w:lang w:eastAsia="cs-CZ"/>
        </w:rPr>
        <w:t xml:space="preserve"> na trhu fúzí a akvizic zůstává v úvodu roku 2026 podle </w:t>
      </w:r>
      <w:r>
        <w:rPr>
          <w:rFonts w:eastAsia="Times New Roman"/>
          <w:sz w:val="22"/>
          <w:szCs w:val="22"/>
          <w:lang w:eastAsia="cs-CZ"/>
        </w:rPr>
        <w:t>Hlaváče</w:t>
      </w:r>
      <w:r w:rsidRPr="00900988">
        <w:rPr>
          <w:rFonts w:eastAsia="Times New Roman"/>
          <w:sz w:val="22"/>
          <w:szCs w:val="22"/>
          <w:lang w:eastAsia="cs-CZ"/>
        </w:rPr>
        <w:t xml:space="preserve"> utlumená, přestože v průběhu roku 2025 došlo k mírnému oživení. </w:t>
      </w:r>
      <w:r w:rsidRPr="00900988">
        <w:rPr>
          <w:rFonts w:eastAsia="Times New Roman"/>
          <w:i/>
          <w:iCs/>
          <w:sz w:val="22"/>
          <w:szCs w:val="22"/>
          <w:lang w:eastAsia="cs-CZ"/>
        </w:rPr>
        <w:t>„Objem transakcí se stabilizoval, avšak stále nedosahuje úrovní z předchozích let. Celkový počet uskutečněných transakcí i počet transakcí se známou hodnotou zůstává oproti rokům 2023 a 2024 nízký, což odráží přetrvávající opatrnost investorů. Trh je nadále ovlivněn vysokou mírou nejistoty, která pramení z pokračujícího konfliktu na Ukrajině, nestabilní globální bezpečnostní situace a geopolitického napětí,“</w:t>
      </w:r>
      <w:r w:rsidRPr="00900988">
        <w:rPr>
          <w:rFonts w:eastAsia="Times New Roman"/>
          <w:sz w:val="22"/>
          <w:szCs w:val="22"/>
          <w:lang w:eastAsia="cs-CZ"/>
        </w:rPr>
        <w:t xml:space="preserve"> uvedl.</w:t>
      </w:r>
    </w:p>
    <w:p w14:paraId="44DA44C9" w14:textId="77777777" w:rsidR="00900988" w:rsidRDefault="00900988" w:rsidP="00CB5D30">
      <w:pPr>
        <w:pStyle w:val="Default"/>
        <w:spacing w:line="264" w:lineRule="auto"/>
        <w:jc w:val="both"/>
        <w:rPr>
          <w:rFonts w:eastAsia="Times New Roman"/>
          <w:sz w:val="22"/>
          <w:szCs w:val="22"/>
          <w:lang w:eastAsia="cs-CZ"/>
        </w:rPr>
      </w:pPr>
    </w:p>
    <w:p w14:paraId="3DB650E5" w14:textId="3CEBFE1E" w:rsidR="00900988" w:rsidRDefault="00900988" w:rsidP="00CB5D30">
      <w:pPr>
        <w:pStyle w:val="Default"/>
        <w:spacing w:line="264" w:lineRule="auto"/>
        <w:jc w:val="both"/>
        <w:rPr>
          <w:rFonts w:eastAsia="Times New Roman"/>
          <w:sz w:val="22"/>
          <w:szCs w:val="22"/>
          <w:lang w:eastAsia="cs-CZ"/>
        </w:rPr>
      </w:pPr>
      <w:r w:rsidRPr="00900988">
        <w:rPr>
          <w:rFonts w:eastAsia="Times New Roman"/>
          <w:sz w:val="22"/>
          <w:szCs w:val="22"/>
          <w:lang w:eastAsia="cs-CZ"/>
        </w:rPr>
        <w:t xml:space="preserve">K nejistotě přispívá rovněž eskalace konfliktu na Blízkém východě a s ním spojený růst cen energií, které negativně ovlivňují výhled investorů. </w:t>
      </w:r>
      <w:r w:rsidRPr="00900988">
        <w:rPr>
          <w:rFonts w:eastAsia="Times New Roman"/>
          <w:i/>
          <w:iCs/>
          <w:sz w:val="22"/>
          <w:szCs w:val="22"/>
          <w:lang w:eastAsia="cs-CZ"/>
        </w:rPr>
        <w:t>„Pro investory zůstávají atraktivní sektory počítačového softwaru, automatizace, digitalizace a robotizace či telekomunikací, zvýšená atraktivita zůstává v oblasti energetiky, zdravotnictví a infrastruktury. Dlouhodobě trvá zájem o výrobu s unikátním produktem,“</w:t>
      </w:r>
      <w:r w:rsidRPr="00900988">
        <w:rPr>
          <w:rFonts w:eastAsia="Times New Roman"/>
          <w:sz w:val="22"/>
          <w:szCs w:val="22"/>
          <w:lang w:eastAsia="cs-CZ"/>
        </w:rPr>
        <w:t xml:space="preserve"> upozornil </w:t>
      </w:r>
      <w:r>
        <w:rPr>
          <w:rFonts w:eastAsia="Times New Roman"/>
          <w:sz w:val="22"/>
          <w:szCs w:val="22"/>
          <w:lang w:eastAsia="cs-CZ"/>
        </w:rPr>
        <w:t>Jiří Hlaváč</w:t>
      </w:r>
      <w:r w:rsidRPr="00900988">
        <w:rPr>
          <w:rFonts w:eastAsia="Times New Roman"/>
          <w:sz w:val="22"/>
          <w:szCs w:val="22"/>
          <w:lang w:eastAsia="cs-CZ"/>
        </w:rPr>
        <w:t>.</w:t>
      </w:r>
    </w:p>
    <w:p w14:paraId="49AECB49" w14:textId="77777777" w:rsidR="00900988" w:rsidRDefault="00900988" w:rsidP="00CB5D30">
      <w:pPr>
        <w:pStyle w:val="Default"/>
        <w:spacing w:line="264" w:lineRule="auto"/>
        <w:jc w:val="both"/>
        <w:rPr>
          <w:rFonts w:eastAsia="Times New Roman"/>
          <w:sz w:val="22"/>
          <w:szCs w:val="22"/>
          <w:lang w:eastAsia="cs-CZ"/>
        </w:rPr>
      </w:pPr>
    </w:p>
    <w:p w14:paraId="39E0E798" w14:textId="4041163B" w:rsidR="0024364D" w:rsidRPr="00A65780" w:rsidRDefault="00900988" w:rsidP="00F41FA0">
      <w:pPr>
        <w:rPr>
          <w:rFonts w:ascii="Arial" w:hAnsi="Arial" w:cs="Arial"/>
        </w:rPr>
      </w:pPr>
      <w:r w:rsidRPr="00A65780">
        <w:rPr>
          <w:rFonts w:ascii="Arial" w:hAnsi="Arial" w:cs="Arial"/>
        </w:rPr>
        <w:t>Ve srovnání se čtvrtým čtvrtletím loňského roku v celém regionu klesl počet transakcí o 75, přičemž známý objem transakcí stoupl mezičtvrtletně o 8,1 miliardy eur. V Česku počet transakcí mezičtvrtletně klesl o 23 a objem o 1,87 miliardy eur (1,876 miliardy eur ve 4. čtvrtletí 2025 vs. čtyři miliony eur v 1. čtvrtletí).</w:t>
      </w:r>
    </w:p>
    <w:p w14:paraId="368A6582" w14:textId="77777777" w:rsidR="00021254" w:rsidRDefault="00021254" w:rsidP="003916F2">
      <w:pPr>
        <w:pStyle w:val="F2-zkladn"/>
        <w:tabs>
          <w:tab w:val="right" w:pos="9070"/>
        </w:tabs>
        <w:spacing w:before="0" w:line="240" w:lineRule="auto"/>
        <w:rPr>
          <w:b/>
        </w:rPr>
      </w:pPr>
    </w:p>
    <w:p w14:paraId="766502C4" w14:textId="77777777" w:rsidR="00EB1C5A" w:rsidRPr="007A39B8" w:rsidRDefault="00EB1C5A" w:rsidP="007A39B8">
      <w:pPr>
        <w:pStyle w:val="F2-zkladn"/>
        <w:tabs>
          <w:tab w:val="right" w:pos="9070"/>
        </w:tabs>
        <w:spacing w:before="0" w:line="264" w:lineRule="auto"/>
        <w:rPr>
          <w:b/>
        </w:rPr>
      </w:pPr>
      <w:r w:rsidRPr="007A39B8">
        <w:rPr>
          <w:b/>
        </w:rPr>
        <w:t>Pro více informací kontaktujte:</w:t>
      </w:r>
    </w:p>
    <w:p w14:paraId="1C28118A" w14:textId="73FE04A0" w:rsidR="00EB1C5A" w:rsidRPr="007A39B8" w:rsidRDefault="002A3294" w:rsidP="007A39B8">
      <w:pPr>
        <w:spacing w:after="0" w:line="264" w:lineRule="auto"/>
        <w:rPr>
          <w:rFonts w:ascii="Arial" w:hAnsi="Arial" w:cs="Arial"/>
          <w:sz w:val="20"/>
          <w:szCs w:val="20"/>
        </w:rPr>
      </w:pPr>
      <w:r w:rsidRPr="007A39B8">
        <w:rPr>
          <w:rFonts w:ascii="Arial" w:hAnsi="Arial" w:cs="Arial"/>
          <w:sz w:val="20"/>
          <w:szCs w:val="20"/>
        </w:rPr>
        <w:t>Kamila Žitnáková</w:t>
      </w:r>
    </w:p>
    <w:p w14:paraId="4835AA2F" w14:textId="77777777" w:rsidR="00EB1C5A" w:rsidRPr="007A39B8" w:rsidRDefault="00EB1C5A" w:rsidP="007A39B8">
      <w:pPr>
        <w:spacing w:after="0" w:line="264" w:lineRule="auto"/>
        <w:rPr>
          <w:rFonts w:ascii="Arial" w:hAnsi="Arial" w:cs="Arial"/>
          <w:b/>
          <w:bCs/>
          <w:sz w:val="20"/>
          <w:szCs w:val="20"/>
        </w:rPr>
      </w:pPr>
      <w:r w:rsidRPr="007A39B8">
        <w:rPr>
          <w:rFonts w:ascii="Arial" w:hAnsi="Arial" w:cs="Arial"/>
          <w:b/>
          <w:bCs/>
          <w:sz w:val="20"/>
          <w:szCs w:val="20"/>
        </w:rPr>
        <w:t>Crest Communications, a.s.</w:t>
      </w:r>
    </w:p>
    <w:p w14:paraId="4DCE98C0" w14:textId="77777777"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Ostrovní 126/30</w:t>
      </w:r>
    </w:p>
    <w:p w14:paraId="09C6E920" w14:textId="77777777"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110 00 Praha 1</w:t>
      </w:r>
    </w:p>
    <w:p w14:paraId="2EEA2F44" w14:textId="5E276D42"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 xml:space="preserve">gsm: + 420 </w:t>
      </w:r>
      <w:r w:rsidR="003D5F96" w:rsidRPr="007A39B8">
        <w:rPr>
          <w:rFonts w:ascii="Arial" w:hAnsi="Arial" w:cs="Arial"/>
          <w:sz w:val="20"/>
          <w:szCs w:val="20"/>
        </w:rPr>
        <w:t>725 544 106</w:t>
      </w:r>
    </w:p>
    <w:p w14:paraId="692417D8" w14:textId="77777777" w:rsidR="00EB1C5A" w:rsidRPr="007A39B8" w:rsidRDefault="00EB1C5A" w:rsidP="007A39B8">
      <w:pPr>
        <w:spacing w:after="0" w:line="264" w:lineRule="auto"/>
        <w:rPr>
          <w:rFonts w:ascii="Arial" w:hAnsi="Arial" w:cs="Arial"/>
          <w:sz w:val="20"/>
          <w:szCs w:val="20"/>
        </w:rPr>
      </w:pPr>
      <w:hyperlink w:tooltip="blocked::http://www.crestcom.cz&#10;http://www.crestcom.cz/" w:history="1">
        <w:r w:rsidRPr="007A39B8">
          <w:rPr>
            <w:rStyle w:val="Hypertextovodkaz"/>
            <w:rFonts w:ascii="Arial" w:hAnsi="Arial" w:cs="Arial"/>
            <w:color w:val="990033"/>
            <w:sz w:val="20"/>
            <w:szCs w:val="20"/>
          </w:rPr>
          <w:t>www.crestcom.cz</w:t>
        </w:r>
      </w:hyperlink>
    </w:p>
    <w:p w14:paraId="28B3B900" w14:textId="5CDD139B" w:rsidR="00316D20" w:rsidRPr="007A39B8" w:rsidRDefault="00EB1C5A" w:rsidP="007A39B8">
      <w:pPr>
        <w:spacing w:after="0" w:line="264" w:lineRule="auto"/>
        <w:rPr>
          <w:rStyle w:val="Hypertextovodkaz"/>
          <w:rFonts w:ascii="Arial" w:hAnsi="Arial" w:cs="Arial"/>
          <w:color w:val="990033"/>
          <w:sz w:val="20"/>
          <w:szCs w:val="20"/>
        </w:rPr>
      </w:pPr>
      <w:r w:rsidRPr="007A39B8">
        <w:rPr>
          <w:rFonts w:ascii="Arial" w:hAnsi="Arial" w:cs="Arial"/>
          <w:color w:val="000000"/>
          <w:sz w:val="20"/>
          <w:szCs w:val="20"/>
        </w:rPr>
        <w:t xml:space="preserve">e-mail: </w:t>
      </w:r>
      <w:hyperlink r:id="rId10" w:history="1">
        <w:r w:rsidR="002A3294" w:rsidRPr="007A39B8">
          <w:rPr>
            <w:rStyle w:val="Hypertextovodkaz"/>
            <w:rFonts w:ascii="Arial" w:hAnsi="Arial" w:cs="Arial"/>
            <w:sz w:val="20"/>
            <w:szCs w:val="20"/>
          </w:rPr>
          <w:t>kamila.zitnakova@crestcom.cz</w:t>
        </w:r>
      </w:hyperlink>
    </w:p>
    <w:p w14:paraId="0C9BF7BF" w14:textId="77777777" w:rsidR="002A3294" w:rsidRDefault="002A3294" w:rsidP="007A39B8">
      <w:pPr>
        <w:spacing w:after="0" w:line="264" w:lineRule="auto"/>
        <w:rPr>
          <w:rStyle w:val="Hypertextovodkaz"/>
          <w:rFonts w:ascii="Arial" w:hAnsi="Arial" w:cs="Arial"/>
          <w:color w:val="990033"/>
          <w:sz w:val="20"/>
          <w:szCs w:val="20"/>
        </w:rPr>
      </w:pPr>
    </w:p>
    <w:p w14:paraId="02B11144" w14:textId="77777777" w:rsidR="007A39B8" w:rsidRPr="007A39B8" w:rsidRDefault="007A39B8" w:rsidP="007A39B8">
      <w:pPr>
        <w:spacing w:after="0" w:line="264" w:lineRule="auto"/>
        <w:rPr>
          <w:rStyle w:val="Hypertextovodkaz"/>
          <w:rFonts w:ascii="Arial" w:hAnsi="Arial" w:cs="Arial"/>
          <w:color w:val="990033"/>
          <w:sz w:val="20"/>
          <w:szCs w:val="20"/>
        </w:rPr>
      </w:pPr>
    </w:p>
    <w:p w14:paraId="7DDF97E7" w14:textId="6C9F6855" w:rsidR="005A2DC0" w:rsidRPr="000516E7" w:rsidRDefault="000516E7" w:rsidP="000516E7">
      <w:pPr>
        <w:spacing w:after="0" w:line="264" w:lineRule="auto"/>
        <w:rPr>
          <w:rFonts w:ascii="Arial" w:hAnsi="Arial" w:cs="Arial"/>
          <w:sz w:val="20"/>
          <w:szCs w:val="20"/>
        </w:rPr>
      </w:pPr>
      <w:r>
        <w:rPr>
          <w:rFonts w:ascii="Arial" w:hAnsi="Arial" w:cs="Arial"/>
          <w:b/>
          <w:sz w:val="20"/>
          <w:szCs w:val="20"/>
        </w:rPr>
        <w:t>O společnosti TPA</w:t>
      </w:r>
      <w:r w:rsidR="00EB1C5A" w:rsidRPr="007A39B8">
        <w:rPr>
          <w:rFonts w:ascii="Arial" w:hAnsi="Arial" w:cs="Arial"/>
          <w:b/>
          <w:sz w:val="20"/>
          <w:szCs w:val="20"/>
        </w:rPr>
        <w:t>:</w:t>
      </w:r>
    </w:p>
    <w:p w14:paraId="05D36A23" w14:textId="35E684A8" w:rsidR="00EB1C5A" w:rsidRDefault="00EB1C5A" w:rsidP="007A39B8">
      <w:pPr>
        <w:pStyle w:val="F2-zkladn"/>
        <w:spacing w:before="0" w:line="264" w:lineRule="auto"/>
      </w:pPr>
      <w:r w:rsidRPr="007A39B8">
        <w:t xml:space="preserve">Skupina </w:t>
      </w:r>
      <w:r w:rsidRPr="007A39B8">
        <w:rPr>
          <w:b/>
        </w:rPr>
        <w:t>TPA Group</w:t>
      </w:r>
      <w:r w:rsidRPr="007A39B8">
        <w:t xml:space="preserve"> poskytuje v České republice své služby od roku </w:t>
      </w:r>
      <w:smartTag w:uri="urn:schemas-microsoft-com:office:smarttags" w:element="metricconverter">
        <w:smartTagPr>
          <w:attr w:name="ProductID" w:val="1993 a"/>
        </w:smartTagPr>
        <w:r w:rsidRPr="007A39B8">
          <w:t>1993 a</w:t>
        </w:r>
      </w:smartTag>
      <w:r w:rsidRPr="007A39B8">
        <w:t xml:space="preserve"> působí celkem v</w:t>
      </w:r>
      <w:r w:rsidR="00483CC4" w:rsidRPr="007A39B8">
        <w:t>e dvanácti</w:t>
      </w:r>
      <w:r w:rsidRPr="007A39B8">
        <w:t xml:space="preserve"> zemích střední a jihovýchodní Evropy. </w:t>
      </w:r>
      <w:r w:rsidR="009B0DF4" w:rsidRPr="007A39B8">
        <w:t>Poskytuje služby zejména v oblastech daňov</w:t>
      </w:r>
      <w:r w:rsidR="00200DBF">
        <w:t>ého</w:t>
      </w:r>
      <w:r w:rsidR="009B0DF4" w:rsidRPr="007A39B8">
        <w:t xml:space="preserve"> poradenství, vedení účetnictví, auditu, oceňování a poradenství při akvizicích. </w:t>
      </w:r>
      <w:r w:rsidRPr="007A39B8">
        <w:t xml:space="preserve"> Zaměřuje se především na korporátní klienty podnikající na mezinárodní úrovni v oblasti střední a jihovýchodní Evropy. Skupina TPA Group je nezávislým členem aliance</w:t>
      </w:r>
      <w:r w:rsidRPr="007A39B8">
        <w:rPr>
          <w:b/>
        </w:rPr>
        <w:t xml:space="preserve"> Baker Tilly Europe Alliance</w:t>
      </w:r>
      <w:r w:rsidRPr="007A39B8">
        <w:t xml:space="preserve">, jejímiž dalšími členy je celosvětová poradenská síť </w:t>
      </w:r>
      <w:hyperlink r:id="rId11" w:history="1">
        <w:r w:rsidRPr="007A39B8">
          <w:rPr>
            <w:rStyle w:val="Hypertextovodkaz"/>
            <w:b/>
          </w:rPr>
          <w:t>Baker Tilly International</w:t>
        </w:r>
      </w:hyperlink>
      <w:r w:rsidRPr="007A39B8">
        <w:t xml:space="preserve"> a samostatný člen Baker Tilly International, </w:t>
      </w:r>
      <w:hyperlink r:id="rId12" w:history="1">
        <w:r w:rsidR="00433B9A" w:rsidRPr="007A39B8">
          <w:rPr>
            <w:rStyle w:val="Hypertextovodkaz"/>
            <w:b/>
          </w:rPr>
          <w:t>Baker Tilly</w:t>
        </w:r>
      </w:hyperlink>
      <w:r w:rsidRPr="007A39B8">
        <w:t xml:space="preserve"> v Německu. Díky členství v Baker Tilly Europe Allience nabízí skupina TPA Group svým klientům služby globální sítě Baker Tilly International, která patří do první desítky celosvětových poradenských sítí. </w:t>
      </w:r>
    </w:p>
    <w:p w14:paraId="24B4D0B6" w14:textId="77777777" w:rsidR="00BA2004" w:rsidRPr="007A39B8" w:rsidRDefault="00BA2004" w:rsidP="007A39B8">
      <w:pPr>
        <w:pStyle w:val="F2-zkladn"/>
        <w:spacing w:before="0" w:line="264" w:lineRule="auto"/>
      </w:pPr>
    </w:p>
    <w:p w14:paraId="1A9B85E0" w14:textId="01DD576C" w:rsidR="001272D9" w:rsidRDefault="001272D9"/>
    <w:sectPr w:rsidR="001272D9" w:rsidSect="00FD070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17" w:right="1417" w:bottom="1417" w:left="1417"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23E2" w14:textId="77777777" w:rsidR="00781DCE" w:rsidRDefault="00781DCE" w:rsidP="00087B0F">
      <w:pPr>
        <w:spacing w:after="0" w:line="240" w:lineRule="auto"/>
      </w:pPr>
      <w:r>
        <w:separator/>
      </w:r>
    </w:p>
  </w:endnote>
  <w:endnote w:type="continuationSeparator" w:id="0">
    <w:p w14:paraId="651B68D8" w14:textId="77777777" w:rsidR="00781DCE" w:rsidRDefault="00781DCE" w:rsidP="0008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C443" w14:textId="77777777" w:rsidR="00A71FE0" w:rsidRDefault="00A71F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5DD5" w14:textId="77777777" w:rsidR="00A71FE0" w:rsidRDefault="00A71F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939D" w14:textId="77777777" w:rsidR="00A71FE0" w:rsidRDefault="00A71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170D" w14:textId="77777777" w:rsidR="00781DCE" w:rsidRDefault="00781DCE" w:rsidP="00087B0F">
      <w:pPr>
        <w:spacing w:after="0" w:line="240" w:lineRule="auto"/>
      </w:pPr>
      <w:r>
        <w:separator/>
      </w:r>
    </w:p>
  </w:footnote>
  <w:footnote w:type="continuationSeparator" w:id="0">
    <w:p w14:paraId="00CA4C7A" w14:textId="77777777" w:rsidR="00781DCE" w:rsidRDefault="00781DCE" w:rsidP="0008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97B2" w14:textId="77777777" w:rsidR="00A71FE0" w:rsidRDefault="00A71F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380" w14:textId="77777777" w:rsidR="00704800" w:rsidRDefault="004432AB">
    <w:pPr>
      <w:pStyle w:val="Zhlav"/>
    </w:pPr>
    <w:r>
      <w:rPr>
        <w:noProof/>
        <w:lang w:eastAsia="cs-CZ"/>
      </w:rPr>
      <w:drawing>
        <wp:anchor distT="0" distB="0" distL="114300" distR="114300" simplePos="0" relativeHeight="251657728" behindDoc="0" locked="0" layoutInCell="1" allowOverlap="1" wp14:anchorId="07FBAF7B" wp14:editId="5D87AFFD">
          <wp:simplePos x="0" y="0"/>
          <wp:positionH relativeFrom="margin">
            <wp:posOffset>4303395</wp:posOffset>
          </wp:positionH>
          <wp:positionV relativeFrom="margin">
            <wp:posOffset>-1171575</wp:posOffset>
          </wp:positionV>
          <wp:extent cx="1490980" cy="110998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BE73" w14:textId="77777777" w:rsidR="00A71FE0" w:rsidRDefault="00A71F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0F"/>
    <w:rsid w:val="00021254"/>
    <w:rsid w:val="00024EB1"/>
    <w:rsid w:val="00034EAB"/>
    <w:rsid w:val="000474F2"/>
    <w:rsid w:val="0005087E"/>
    <w:rsid w:val="000516E7"/>
    <w:rsid w:val="00056127"/>
    <w:rsid w:val="00056B71"/>
    <w:rsid w:val="00063FCD"/>
    <w:rsid w:val="00065420"/>
    <w:rsid w:val="00066FB2"/>
    <w:rsid w:val="00072CA9"/>
    <w:rsid w:val="00087B0F"/>
    <w:rsid w:val="000A2944"/>
    <w:rsid w:val="000B1F52"/>
    <w:rsid w:val="000E0603"/>
    <w:rsid w:val="000F648D"/>
    <w:rsid w:val="001272D9"/>
    <w:rsid w:val="001349D3"/>
    <w:rsid w:val="00147AAD"/>
    <w:rsid w:val="001514D6"/>
    <w:rsid w:val="001643CE"/>
    <w:rsid w:val="001665B3"/>
    <w:rsid w:val="001833EC"/>
    <w:rsid w:val="00190F27"/>
    <w:rsid w:val="001B248E"/>
    <w:rsid w:val="001C0CE4"/>
    <w:rsid w:val="001E27EA"/>
    <w:rsid w:val="001F387C"/>
    <w:rsid w:val="001F501D"/>
    <w:rsid w:val="00200DBF"/>
    <w:rsid w:val="002212EA"/>
    <w:rsid w:val="0022496F"/>
    <w:rsid w:val="00232D8F"/>
    <w:rsid w:val="00235BCD"/>
    <w:rsid w:val="0024364D"/>
    <w:rsid w:val="002467AC"/>
    <w:rsid w:val="002468A7"/>
    <w:rsid w:val="0025133B"/>
    <w:rsid w:val="0027105E"/>
    <w:rsid w:val="002948D0"/>
    <w:rsid w:val="002A3294"/>
    <w:rsid w:val="002A7D37"/>
    <w:rsid w:val="002B5F47"/>
    <w:rsid w:val="002D345D"/>
    <w:rsid w:val="002D4C48"/>
    <w:rsid w:val="002E39E1"/>
    <w:rsid w:val="00302ABC"/>
    <w:rsid w:val="0030704F"/>
    <w:rsid w:val="00307EBA"/>
    <w:rsid w:val="003143B9"/>
    <w:rsid w:val="003164A3"/>
    <w:rsid w:val="00316D20"/>
    <w:rsid w:val="003371D5"/>
    <w:rsid w:val="003749FA"/>
    <w:rsid w:val="00381597"/>
    <w:rsid w:val="00385385"/>
    <w:rsid w:val="003916F2"/>
    <w:rsid w:val="003B5AE8"/>
    <w:rsid w:val="003D2C74"/>
    <w:rsid w:val="003D33AF"/>
    <w:rsid w:val="003D5F96"/>
    <w:rsid w:val="004010C0"/>
    <w:rsid w:val="00410BBE"/>
    <w:rsid w:val="00414BA1"/>
    <w:rsid w:val="00415AAB"/>
    <w:rsid w:val="004321DB"/>
    <w:rsid w:val="00433144"/>
    <w:rsid w:val="00433B9A"/>
    <w:rsid w:val="004432AB"/>
    <w:rsid w:val="0044506B"/>
    <w:rsid w:val="0046142A"/>
    <w:rsid w:val="00466635"/>
    <w:rsid w:val="00474216"/>
    <w:rsid w:val="00483CC4"/>
    <w:rsid w:val="00490F1B"/>
    <w:rsid w:val="00494A82"/>
    <w:rsid w:val="00494D1A"/>
    <w:rsid w:val="004C261B"/>
    <w:rsid w:val="004D4BBC"/>
    <w:rsid w:val="004E2B60"/>
    <w:rsid w:val="004F1F03"/>
    <w:rsid w:val="004F326F"/>
    <w:rsid w:val="0051646C"/>
    <w:rsid w:val="005318CD"/>
    <w:rsid w:val="0053615C"/>
    <w:rsid w:val="00544EA3"/>
    <w:rsid w:val="005500FE"/>
    <w:rsid w:val="005601E7"/>
    <w:rsid w:val="005744B2"/>
    <w:rsid w:val="00590F8E"/>
    <w:rsid w:val="005A2487"/>
    <w:rsid w:val="005A2DC0"/>
    <w:rsid w:val="005D6140"/>
    <w:rsid w:val="005E16B6"/>
    <w:rsid w:val="006271A1"/>
    <w:rsid w:val="00643279"/>
    <w:rsid w:val="00643BFA"/>
    <w:rsid w:val="00650005"/>
    <w:rsid w:val="0065541F"/>
    <w:rsid w:val="00667056"/>
    <w:rsid w:val="00677F43"/>
    <w:rsid w:val="006A65B5"/>
    <w:rsid w:val="006A7542"/>
    <w:rsid w:val="006B531A"/>
    <w:rsid w:val="006D4648"/>
    <w:rsid w:val="006D4B45"/>
    <w:rsid w:val="006E6C5B"/>
    <w:rsid w:val="006F39F5"/>
    <w:rsid w:val="00704800"/>
    <w:rsid w:val="0071272D"/>
    <w:rsid w:val="00726CDA"/>
    <w:rsid w:val="00732B15"/>
    <w:rsid w:val="00734F7E"/>
    <w:rsid w:val="007357E4"/>
    <w:rsid w:val="00735B2F"/>
    <w:rsid w:val="00742833"/>
    <w:rsid w:val="0075184E"/>
    <w:rsid w:val="00756665"/>
    <w:rsid w:val="00764026"/>
    <w:rsid w:val="007672E8"/>
    <w:rsid w:val="00781DCE"/>
    <w:rsid w:val="00784698"/>
    <w:rsid w:val="00792360"/>
    <w:rsid w:val="007A39B8"/>
    <w:rsid w:val="007B4CB7"/>
    <w:rsid w:val="007B5B26"/>
    <w:rsid w:val="007B5F1E"/>
    <w:rsid w:val="007C65E0"/>
    <w:rsid w:val="007C74F1"/>
    <w:rsid w:val="007D4CFC"/>
    <w:rsid w:val="007E1A19"/>
    <w:rsid w:val="00820498"/>
    <w:rsid w:val="00820D1C"/>
    <w:rsid w:val="00876906"/>
    <w:rsid w:val="008A6922"/>
    <w:rsid w:val="008B71E2"/>
    <w:rsid w:val="008C35C6"/>
    <w:rsid w:val="008D2CED"/>
    <w:rsid w:val="008D30B5"/>
    <w:rsid w:val="008E0CBB"/>
    <w:rsid w:val="008E4064"/>
    <w:rsid w:val="00900988"/>
    <w:rsid w:val="00911D3B"/>
    <w:rsid w:val="009149D3"/>
    <w:rsid w:val="009312EA"/>
    <w:rsid w:val="0094373B"/>
    <w:rsid w:val="009448BF"/>
    <w:rsid w:val="00965886"/>
    <w:rsid w:val="00965982"/>
    <w:rsid w:val="009674C3"/>
    <w:rsid w:val="00976D76"/>
    <w:rsid w:val="0097794D"/>
    <w:rsid w:val="0099767A"/>
    <w:rsid w:val="00997BD4"/>
    <w:rsid w:val="009A0B16"/>
    <w:rsid w:val="009B0DF4"/>
    <w:rsid w:val="009D2482"/>
    <w:rsid w:val="009D26BA"/>
    <w:rsid w:val="009F5D62"/>
    <w:rsid w:val="009F6061"/>
    <w:rsid w:val="00A03AEB"/>
    <w:rsid w:val="00A05DF4"/>
    <w:rsid w:val="00A33148"/>
    <w:rsid w:val="00A5076E"/>
    <w:rsid w:val="00A65780"/>
    <w:rsid w:val="00A71FE0"/>
    <w:rsid w:val="00A74319"/>
    <w:rsid w:val="00A75C98"/>
    <w:rsid w:val="00A75E11"/>
    <w:rsid w:val="00A77597"/>
    <w:rsid w:val="00AA1EC4"/>
    <w:rsid w:val="00AA2DB4"/>
    <w:rsid w:val="00AD0D2A"/>
    <w:rsid w:val="00AD6570"/>
    <w:rsid w:val="00AE3FEF"/>
    <w:rsid w:val="00AF63E5"/>
    <w:rsid w:val="00B121F9"/>
    <w:rsid w:val="00B362B0"/>
    <w:rsid w:val="00B3732A"/>
    <w:rsid w:val="00B47281"/>
    <w:rsid w:val="00B66D84"/>
    <w:rsid w:val="00BA2004"/>
    <w:rsid w:val="00BA7058"/>
    <w:rsid w:val="00BB2F4F"/>
    <w:rsid w:val="00BC4A3D"/>
    <w:rsid w:val="00BD2839"/>
    <w:rsid w:val="00BE16A9"/>
    <w:rsid w:val="00BF7D01"/>
    <w:rsid w:val="00BF7EDF"/>
    <w:rsid w:val="00C012A6"/>
    <w:rsid w:val="00C27561"/>
    <w:rsid w:val="00C328B8"/>
    <w:rsid w:val="00C43F8F"/>
    <w:rsid w:val="00C64D57"/>
    <w:rsid w:val="00C92F96"/>
    <w:rsid w:val="00CA237E"/>
    <w:rsid w:val="00CB1852"/>
    <w:rsid w:val="00CB5D30"/>
    <w:rsid w:val="00CC1656"/>
    <w:rsid w:val="00CD0F82"/>
    <w:rsid w:val="00CD249C"/>
    <w:rsid w:val="00D01576"/>
    <w:rsid w:val="00D04011"/>
    <w:rsid w:val="00D05BA1"/>
    <w:rsid w:val="00D23939"/>
    <w:rsid w:val="00D26944"/>
    <w:rsid w:val="00D4284D"/>
    <w:rsid w:val="00D579C4"/>
    <w:rsid w:val="00D67270"/>
    <w:rsid w:val="00D72C84"/>
    <w:rsid w:val="00D73B92"/>
    <w:rsid w:val="00D74683"/>
    <w:rsid w:val="00D93651"/>
    <w:rsid w:val="00DA18DA"/>
    <w:rsid w:val="00DB6D1B"/>
    <w:rsid w:val="00DC0782"/>
    <w:rsid w:val="00DC112F"/>
    <w:rsid w:val="00DC66EC"/>
    <w:rsid w:val="00DD06BF"/>
    <w:rsid w:val="00DF5919"/>
    <w:rsid w:val="00DF7E3A"/>
    <w:rsid w:val="00E20A11"/>
    <w:rsid w:val="00E30CAC"/>
    <w:rsid w:val="00E62DFE"/>
    <w:rsid w:val="00E9566A"/>
    <w:rsid w:val="00E97493"/>
    <w:rsid w:val="00EA436F"/>
    <w:rsid w:val="00EB1C5A"/>
    <w:rsid w:val="00ED4CF4"/>
    <w:rsid w:val="00EE18BA"/>
    <w:rsid w:val="00F00E13"/>
    <w:rsid w:val="00F230EE"/>
    <w:rsid w:val="00F267C3"/>
    <w:rsid w:val="00F32BD2"/>
    <w:rsid w:val="00F36A0A"/>
    <w:rsid w:val="00F41FA0"/>
    <w:rsid w:val="00F80911"/>
    <w:rsid w:val="00FC081F"/>
    <w:rsid w:val="00FD0701"/>
    <w:rsid w:val="00FE255D"/>
    <w:rsid w:val="00FE3F7E"/>
    <w:rsid w:val="00FF47A3"/>
    <w:rsid w:val="0239750A"/>
    <w:rsid w:val="024FA9DA"/>
    <w:rsid w:val="026A6F84"/>
    <w:rsid w:val="02C5C4BA"/>
    <w:rsid w:val="039DD79F"/>
    <w:rsid w:val="03CB2327"/>
    <w:rsid w:val="04063FE5"/>
    <w:rsid w:val="044554D7"/>
    <w:rsid w:val="061501E2"/>
    <w:rsid w:val="06AE04F5"/>
    <w:rsid w:val="06D76539"/>
    <w:rsid w:val="06DC7D90"/>
    <w:rsid w:val="0702C3E9"/>
    <w:rsid w:val="07130723"/>
    <w:rsid w:val="08049A85"/>
    <w:rsid w:val="0A046E03"/>
    <w:rsid w:val="0A516C91"/>
    <w:rsid w:val="0A56F19F"/>
    <w:rsid w:val="0B427BBE"/>
    <w:rsid w:val="0C2C7BDA"/>
    <w:rsid w:val="0CF067FA"/>
    <w:rsid w:val="0D23EB31"/>
    <w:rsid w:val="0D85A985"/>
    <w:rsid w:val="0D890D53"/>
    <w:rsid w:val="0D8E9261"/>
    <w:rsid w:val="0DA10B06"/>
    <w:rsid w:val="0DB0DAD7"/>
    <w:rsid w:val="0F24DDB4"/>
    <w:rsid w:val="11323DC9"/>
    <w:rsid w:val="11C053D4"/>
    <w:rsid w:val="11E3B63F"/>
    <w:rsid w:val="133C96C0"/>
    <w:rsid w:val="137F86A0"/>
    <w:rsid w:val="13F663EB"/>
    <w:rsid w:val="14920391"/>
    <w:rsid w:val="1498C807"/>
    <w:rsid w:val="149E408F"/>
    <w:rsid w:val="151B5701"/>
    <w:rsid w:val="158504D8"/>
    <w:rsid w:val="15861CC3"/>
    <w:rsid w:val="1597C8AE"/>
    <w:rsid w:val="15CB354F"/>
    <w:rsid w:val="1619BCF7"/>
    <w:rsid w:val="1624654F"/>
    <w:rsid w:val="16B72762"/>
    <w:rsid w:val="17925970"/>
    <w:rsid w:val="1A09D6B1"/>
    <w:rsid w:val="1CFD05CD"/>
    <w:rsid w:val="1E91ED59"/>
    <w:rsid w:val="1FCF06F6"/>
    <w:rsid w:val="20676E1F"/>
    <w:rsid w:val="2081DB9E"/>
    <w:rsid w:val="213A9D77"/>
    <w:rsid w:val="21B6F183"/>
    <w:rsid w:val="21D220E9"/>
    <w:rsid w:val="2559AC75"/>
    <w:rsid w:val="25D060C8"/>
    <w:rsid w:val="25E70183"/>
    <w:rsid w:val="269E9D6D"/>
    <w:rsid w:val="26F0473F"/>
    <w:rsid w:val="27B88392"/>
    <w:rsid w:val="2808C856"/>
    <w:rsid w:val="28468436"/>
    <w:rsid w:val="2A27E801"/>
    <w:rsid w:val="2AB0D8C5"/>
    <w:rsid w:val="2BA37ED6"/>
    <w:rsid w:val="2BC3B862"/>
    <w:rsid w:val="2BCA5C77"/>
    <w:rsid w:val="2D3F4F37"/>
    <w:rsid w:val="2DF35B6A"/>
    <w:rsid w:val="2EBA6F57"/>
    <w:rsid w:val="2F90391C"/>
    <w:rsid w:val="3211BBAF"/>
    <w:rsid w:val="33576D49"/>
    <w:rsid w:val="338F62FE"/>
    <w:rsid w:val="368BE702"/>
    <w:rsid w:val="36C5D1A3"/>
    <w:rsid w:val="37EA4696"/>
    <w:rsid w:val="37F82A2B"/>
    <w:rsid w:val="3827B763"/>
    <w:rsid w:val="383903CB"/>
    <w:rsid w:val="38785213"/>
    <w:rsid w:val="39DA8FAA"/>
    <w:rsid w:val="3AC8D2A1"/>
    <w:rsid w:val="3DB991FF"/>
    <w:rsid w:val="3F2C8302"/>
    <w:rsid w:val="3F9D8B55"/>
    <w:rsid w:val="40E08CF3"/>
    <w:rsid w:val="41D101FA"/>
    <w:rsid w:val="423EC8DD"/>
    <w:rsid w:val="42F2394B"/>
    <w:rsid w:val="4301EB23"/>
    <w:rsid w:val="435F4054"/>
    <w:rsid w:val="43D3917C"/>
    <w:rsid w:val="449DBB84"/>
    <w:rsid w:val="456239FE"/>
    <w:rsid w:val="45A79B91"/>
    <w:rsid w:val="48A55F41"/>
    <w:rsid w:val="4AC1D451"/>
    <w:rsid w:val="4BE28462"/>
    <w:rsid w:val="4D4FA171"/>
    <w:rsid w:val="4E71413D"/>
    <w:rsid w:val="4F582A0F"/>
    <w:rsid w:val="50519165"/>
    <w:rsid w:val="507DE2B2"/>
    <w:rsid w:val="509F80CC"/>
    <w:rsid w:val="50B2ABFC"/>
    <w:rsid w:val="5184E352"/>
    <w:rsid w:val="5219B313"/>
    <w:rsid w:val="5239B5B1"/>
    <w:rsid w:val="52E14C6A"/>
    <w:rsid w:val="5365FA19"/>
    <w:rsid w:val="54C14231"/>
    <w:rsid w:val="55517EB9"/>
    <w:rsid w:val="57025B1C"/>
    <w:rsid w:val="574DCD63"/>
    <w:rsid w:val="58803E62"/>
    <w:rsid w:val="5948F6BA"/>
    <w:rsid w:val="595CF70E"/>
    <w:rsid w:val="59BEF68A"/>
    <w:rsid w:val="5B0BF1AE"/>
    <w:rsid w:val="5C12BFD7"/>
    <w:rsid w:val="5CF2FB64"/>
    <w:rsid w:val="5DABD8EA"/>
    <w:rsid w:val="5DDCD4EF"/>
    <w:rsid w:val="5F22C876"/>
    <w:rsid w:val="5F4262A1"/>
    <w:rsid w:val="5F96C9E2"/>
    <w:rsid w:val="603620A7"/>
    <w:rsid w:val="614198F8"/>
    <w:rsid w:val="616E8CBA"/>
    <w:rsid w:val="625BE913"/>
    <w:rsid w:val="6716E0B7"/>
    <w:rsid w:val="68B2B118"/>
    <w:rsid w:val="69249BAF"/>
    <w:rsid w:val="69338280"/>
    <w:rsid w:val="6AC5F9FD"/>
    <w:rsid w:val="6AE677CF"/>
    <w:rsid w:val="6BD301EF"/>
    <w:rsid w:val="6BD7B542"/>
    <w:rsid w:val="6C9011C9"/>
    <w:rsid w:val="6CBDCFBB"/>
    <w:rsid w:val="6D1443EB"/>
    <w:rsid w:val="6D44F48A"/>
    <w:rsid w:val="6E1A5989"/>
    <w:rsid w:val="6EDA87A2"/>
    <w:rsid w:val="6F1B5F1C"/>
    <w:rsid w:val="714D0E33"/>
    <w:rsid w:val="7340AE06"/>
    <w:rsid w:val="74A41C1E"/>
    <w:rsid w:val="74F16EB6"/>
    <w:rsid w:val="75780BC3"/>
    <w:rsid w:val="75C757B5"/>
    <w:rsid w:val="76A26285"/>
    <w:rsid w:val="77751B1B"/>
    <w:rsid w:val="77E7BF1A"/>
    <w:rsid w:val="789DD256"/>
    <w:rsid w:val="7A56B738"/>
    <w:rsid w:val="7A9EC4E7"/>
    <w:rsid w:val="7B3394A8"/>
    <w:rsid w:val="7B72F05E"/>
    <w:rsid w:val="7C13742E"/>
    <w:rsid w:val="7C25CE9C"/>
    <w:rsid w:val="7DA8AFEC"/>
    <w:rsid w:val="7EEC21A4"/>
    <w:rsid w:val="7EF7B203"/>
    <w:rsid w:val="7FA497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48A7B5"/>
  <w15:chartTrackingRefBased/>
  <w15:docId w15:val="{CB94C65A-AEAA-42C2-B1E6-20340A8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7B0F"/>
    <w:pPr>
      <w:tabs>
        <w:tab w:val="center" w:pos="4536"/>
        <w:tab w:val="right" w:pos="9072"/>
      </w:tabs>
    </w:pPr>
  </w:style>
  <w:style w:type="character" w:customStyle="1" w:styleId="ZhlavChar">
    <w:name w:val="Záhlaví Char"/>
    <w:link w:val="Zhlav"/>
    <w:uiPriority w:val="99"/>
    <w:rsid w:val="00087B0F"/>
    <w:rPr>
      <w:sz w:val="22"/>
      <w:szCs w:val="22"/>
      <w:lang w:eastAsia="en-US"/>
    </w:rPr>
  </w:style>
  <w:style w:type="paragraph" w:styleId="Zpat">
    <w:name w:val="footer"/>
    <w:basedOn w:val="Normln"/>
    <w:link w:val="ZpatChar"/>
    <w:uiPriority w:val="99"/>
    <w:unhideWhenUsed/>
    <w:rsid w:val="00087B0F"/>
    <w:pPr>
      <w:tabs>
        <w:tab w:val="center" w:pos="4536"/>
        <w:tab w:val="right" w:pos="9072"/>
      </w:tabs>
    </w:pPr>
  </w:style>
  <w:style w:type="character" w:customStyle="1" w:styleId="ZpatChar">
    <w:name w:val="Zápatí Char"/>
    <w:link w:val="Zpat"/>
    <w:uiPriority w:val="99"/>
    <w:rsid w:val="00087B0F"/>
    <w:rPr>
      <w:sz w:val="22"/>
      <w:szCs w:val="22"/>
      <w:lang w:eastAsia="en-US"/>
    </w:rPr>
  </w:style>
  <w:style w:type="paragraph" w:customStyle="1" w:styleId="F2-zkladn">
    <w:name w:val="F2 - základní"/>
    <w:link w:val="F2-zkladnCharChar"/>
    <w:rsid w:val="00EB1C5A"/>
    <w:pPr>
      <w:spacing w:before="240" w:line="300" w:lineRule="exact"/>
      <w:jc w:val="both"/>
    </w:pPr>
    <w:rPr>
      <w:rFonts w:ascii="Arial" w:eastAsia="Times New Roman" w:hAnsi="Arial" w:cs="Arial"/>
      <w:lang w:eastAsia="cs-CZ"/>
    </w:rPr>
  </w:style>
  <w:style w:type="character" w:styleId="Hypertextovodkaz">
    <w:name w:val="Hyperlink"/>
    <w:semiHidden/>
    <w:rsid w:val="00EB1C5A"/>
    <w:rPr>
      <w:color w:val="0000FF"/>
      <w:u w:val="single"/>
    </w:rPr>
  </w:style>
  <w:style w:type="character" w:customStyle="1" w:styleId="F2-zkladnCharChar">
    <w:name w:val="F2 - základní Char Char"/>
    <w:link w:val="F2-zkladn"/>
    <w:rsid w:val="00EB1C5A"/>
    <w:rPr>
      <w:rFonts w:ascii="Arial" w:eastAsia="Times New Roman" w:hAnsi="Arial" w:cs="Arial"/>
    </w:rPr>
  </w:style>
  <w:style w:type="character" w:styleId="Odkaznakoment">
    <w:name w:val="annotation reference"/>
    <w:uiPriority w:val="99"/>
    <w:semiHidden/>
    <w:unhideWhenUsed/>
    <w:rsid w:val="00BC4A3D"/>
    <w:rPr>
      <w:sz w:val="16"/>
      <w:szCs w:val="16"/>
    </w:rPr>
  </w:style>
  <w:style w:type="paragraph" w:styleId="Textkomente">
    <w:name w:val="annotation text"/>
    <w:basedOn w:val="Normln"/>
    <w:link w:val="TextkomenteChar"/>
    <w:uiPriority w:val="99"/>
    <w:unhideWhenUsed/>
    <w:rsid w:val="00BC4A3D"/>
    <w:rPr>
      <w:sz w:val="20"/>
      <w:szCs w:val="20"/>
    </w:rPr>
  </w:style>
  <w:style w:type="character" w:customStyle="1" w:styleId="TextkomenteChar">
    <w:name w:val="Text komentáře Char"/>
    <w:link w:val="Textkomente"/>
    <w:uiPriority w:val="99"/>
    <w:rsid w:val="00BC4A3D"/>
    <w:rPr>
      <w:lang w:eastAsia="en-US"/>
    </w:rPr>
  </w:style>
  <w:style w:type="paragraph" w:styleId="Pedmtkomente">
    <w:name w:val="annotation subject"/>
    <w:basedOn w:val="Textkomente"/>
    <w:next w:val="Textkomente"/>
    <w:link w:val="PedmtkomenteChar"/>
    <w:uiPriority w:val="99"/>
    <w:semiHidden/>
    <w:unhideWhenUsed/>
    <w:rsid w:val="00BC4A3D"/>
    <w:rPr>
      <w:b/>
      <w:bCs/>
    </w:rPr>
  </w:style>
  <w:style w:type="character" w:customStyle="1" w:styleId="PedmtkomenteChar">
    <w:name w:val="Předmět komentáře Char"/>
    <w:link w:val="Pedmtkomente"/>
    <w:uiPriority w:val="99"/>
    <w:semiHidden/>
    <w:rsid w:val="00BC4A3D"/>
    <w:rPr>
      <w:b/>
      <w:bCs/>
      <w:lang w:eastAsia="en-US"/>
    </w:rPr>
  </w:style>
  <w:style w:type="paragraph" w:styleId="Textbubliny">
    <w:name w:val="Balloon Text"/>
    <w:basedOn w:val="Normln"/>
    <w:link w:val="TextbublinyChar"/>
    <w:uiPriority w:val="99"/>
    <w:semiHidden/>
    <w:unhideWhenUsed/>
    <w:rsid w:val="00BC4A3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C4A3D"/>
    <w:rPr>
      <w:rFonts w:ascii="Segoe UI" w:hAnsi="Segoe UI" w:cs="Segoe UI"/>
      <w:sz w:val="18"/>
      <w:szCs w:val="18"/>
      <w:lang w:eastAsia="en-US"/>
    </w:rPr>
  </w:style>
  <w:style w:type="paragraph" w:styleId="Revize">
    <w:name w:val="Revision"/>
    <w:hidden/>
    <w:uiPriority w:val="99"/>
    <w:semiHidden/>
    <w:rsid w:val="00BC4A3D"/>
    <w:rPr>
      <w:sz w:val="22"/>
      <w:szCs w:val="22"/>
      <w:lang w:eastAsia="en-US"/>
    </w:rPr>
  </w:style>
  <w:style w:type="paragraph" w:customStyle="1" w:styleId="Default">
    <w:name w:val="Default"/>
    <w:rsid w:val="00024EB1"/>
    <w:pPr>
      <w:autoSpaceDE w:val="0"/>
      <w:autoSpaceDN w:val="0"/>
      <w:adjustRightInd w:val="0"/>
    </w:pPr>
    <w:rPr>
      <w:rFonts w:ascii="Arial" w:eastAsiaTheme="minorHAnsi" w:hAnsi="Arial" w:cs="Arial"/>
      <w:color w:val="000000"/>
      <w:sz w:val="24"/>
      <w:szCs w:val="24"/>
      <w:lang w:eastAsia="en-US"/>
    </w:rPr>
  </w:style>
  <w:style w:type="paragraph" w:styleId="Textvysvtlivek">
    <w:name w:val="endnote text"/>
    <w:basedOn w:val="Normln"/>
    <w:link w:val="TextvysvtlivekChar"/>
    <w:uiPriority w:val="99"/>
    <w:semiHidden/>
    <w:unhideWhenUsed/>
    <w:rsid w:val="002468A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468A7"/>
    <w:rPr>
      <w:lang w:eastAsia="en-US"/>
    </w:rPr>
  </w:style>
  <w:style w:type="character" w:styleId="Odkaznavysvtlivky">
    <w:name w:val="endnote reference"/>
    <w:basedOn w:val="Standardnpsmoodstavce"/>
    <w:uiPriority w:val="99"/>
    <w:semiHidden/>
    <w:unhideWhenUsed/>
    <w:rsid w:val="002468A7"/>
    <w:rPr>
      <w:vertAlign w:val="superscript"/>
    </w:rPr>
  </w:style>
  <w:style w:type="paragraph" w:styleId="Textpoznpodarou">
    <w:name w:val="footnote text"/>
    <w:basedOn w:val="Normln"/>
    <w:link w:val="TextpoznpodarouChar"/>
    <w:uiPriority w:val="99"/>
    <w:semiHidden/>
    <w:unhideWhenUsed/>
    <w:rsid w:val="006B53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531A"/>
    <w:rPr>
      <w:lang w:eastAsia="en-US"/>
    </w:rPr>
  </w:style>
  <w:style w:type="character" w:styleId="Znakapoznpodarou">
    <w:name w:val="footnote reference"/>
    <w:basedOn w:val="Standardnpsmoodstavce"/>
    <w:uiPriority w:val="99"/>
    <w:semiHidden/>
    <w:unhideWhenUsed/>
    <w:rsid w:val="006B531A"/>
    <w:rPr>
      <w:vertAlign w:val="superscript"/>
    </w:rPr>
  </w:style>
  <w:style w:type="character" w:styleId="Nevyeenzmnka">
    <w:name w:val="Unresolved Mention"/>
    <w:basedOn w:val="Standardnpsmoodstavce"/>
    <w:uiPriority w:val="99"/>
    <w:semiHidden/>
    <w:unhideWhenUsed/>
    <w:rsid w:val="002A3294"/>
    <w:rPr>
      <w:color w:val="605E5C"/>
      <w:shd w:val="clear" w:color="auto" w:fill="E1DFDD"/>
    </w:rPr>
  </w:style>
  <w:style w:type="paragraph" w:styleId="Normlnweb">
    <w:name w:val="Normal (Web)"/>
    <w:basedOn w:val="Normln"/>
    <w:uiPriority w:val="99"/>
    <w:semiHidden/>
    <w:unhideWhenUsed/>
    <w:rsid w:val="00ED4CF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880">
      <w:bodyDiv w:val="1"/>
      <w:marLeft w:val="0"/>
      <w:marRight w:val="0"/>
      <w:marTop w:val="0"/>
      <w:marBottom w:val="0"/>
      <w:divBdr>
        <w:top w:val="none" w:sz="0" w:space="0" w:color="auto"/>
        <w:left w:val="none" w:sz="0" w:space="0" w:color="auto"/>
        <w:bottom w:val="none" w:sz="0" w:space="0" w:color="auto"/>
        <w:right w:val="none" w:sz="0" w:space="0" w:color="auto"/>
      </w:divBdr>
    </w:div>
    <w:div w:id="58289220">
      <w:bodyDiv w:val="1"/>
      <w:marLeft w:val="0"/>
      <w:marRight w:val="0"/>
      <w:marTop w:val="0"/>
      <w:marBottom w:val="0"/>
      <w:divBdr>
        <w:top w:val="none" w:sz="0" w:space="0" w:color="auto"/>
        <w:left w:val="none" w:sz="0" w:space="0" w:color="auto"/>
        <w:bottom w:val="none" w:sz="0" w:space="0" w:color="auto"/>
        <w:right w:val="none" w:sz="0" w:space="0" w:color="auto"/>
      </w:divBdr>
    </w:div>
    <w:div w:id="72704477">
      <w:bodyDiv w:val="1"/>
      <w:marLeft w:val="0"/>
      <w:marRight w:val="0"/>
      <w:marTop w:val="0"/>
      <w:marBottom w:val="0"/>
      <w:divBdr>
        <w:top w:val="none" w:sz="0" w:space="0" w:color="auto"/>
        <w:left w:val="none" w:sz="0" w:space="0" w:color="auto"/>
        <w:bottom w:val="none" w:sz="0" w:space="0" w:color="auto"/>
        <w:right w:val="none" w:sz="0" w:space="0" w:color="auto"/>
      </w:divBdr>
    </w:div>
    <w:div w:id="460193796">
      <w:bodyDiv w:val="1"/>
      <w:marLeft w:val="0"/>
      <w:marRight w:val="0"/>
      <w:marTop w:val="0"/>
      <w:marBottom w:val="0"/>
      <w:divBdr>
        <w:top w:val="none" w:sz="0" w:space="0" w:color="auto"/>
        <w:left w:val="none" w:sz="0" w:space="0" w:color="auto"/>
        <w:bottom w:val="none" w:sz="0" w:space="0" w:color="auto"/>
        <w:right w:val="none" w:sz="0" w:space="0" w:color="auto"/>
      </w:divBdr>
    </w:div>
    <w:div w:id="549270150">
      <w:bodyDiv w:val="1"/>
      <w:marLeft w:val="0"/>
      <w:marRight w:val="0"/>
      <w:marTop w:val="0"/>
      <w:marBottom w:val="0"/>
      <w:divBdr>
        <w:top w:val="none" w:sz="0" w:space="0" w:color="auto"/>
        <w:left w:val="none" w:sz="0" w:space="0" w:color="auto"/>
        <w:bottom w:val="none" w:sz="0" w:space="0" w:color="auto"/>
        <w:right w:val="none" w:sz="0" w:space="0" w:color="auto"/>
      </w:divBdr>
    </w:div>
    <w:div w:id="910894313">
      <w:bodyDiv w:val="1"/>
      <w:marLeft w:val="0"/>
      <w:marRight w:val="0"/>
      <w:marTop w:val="0"/>
      <w:marBottom w:val="0"/>
      <w:divBdr>
        <w:top w:val="none" w:sz="0" w:space="0" w:color="auto"/>
        <w:left w:val="none" w:sz="0" w:space="0" w:color="auto"/>
        <w:bottom w:val="none" w:sz="0" w:space="0" w:color="auto"/>
        <w:right w:val="none" w:sz="0" w:space="0" w:color="auto"/>
      </w:divBdr>
    </w:div>
    <w:div w:id="1029524221">
      <w:bodyDiv w:val="1"/>
      <w:marLeft w:val="0"/>
      <w:marRight w:val="0"/>
      <w:marTop w:val="0"/>
      <w:marBottom w:val="0"/>
      <w:divBdr>
        <w:top w:val="none" w:sz="0" w:space="0" w:color="auto"/>
        <w:left w:val="none" w:sz="0" w:space="0" w:color="auto"/>
        <w:bottom w:val="none" w:sz="0" w:space="0" w:color="auto"/>
        <w:right w:val="none" w:sz="0" w:space="0" w:color="auto"/>
      </w:divBdr>
    </w:div>
    <w:div w:id="1078283639">
      <w:bodyDiv w:val="1"/>
      <w:marLeft w:val="0"/>
      <w:marRight w:val="0"/>
      <w:marTop w:val="0"/>
      <w:marBottom w:val="0"/>
      <w:divBdr>
        <w:top w:val="none" w:sz="0" w:space="0" w:color="auto"/>
        <w:left w:val="none" w:sz="0" w:space="0" w:color="auto"/>
        <w:bottom w:val="none" w:sz="0" w:space="0" w:color="auto"/>
        <w:right w:val="none" w:sz="0" w:space="0" w:color="auto"/>
      </w:divBdr>
    </w:div>
    <w:div w:id="1161581969">
      <w:bodyDiv w:val="1"/>
      <w:marLeft w:val="0"/>
      <w:marRight w:val="0"/>
      <w:marTop w:val="0"/>
      <w:marBottom w:val="0"/>
      <w:divBdr>
        <w:top w:val="none" w:sz="0" w:space="0" w:color="auto"/>
        <w:left w:val="none" w:sz="0" w:space="0" w:color="auto"/>
        <w:bottom w:val="none" w:sz="0" w:space="0" w:color="auto"/>
        <w:right w:val="none" w:sz="0" w:space="0" w:color="auto"/>
      </w:divBdr>
    </w:div>
    <w:div w:id="1363094334">
      <w:bodyDiv w:val="1"/>
      <w:marLeft w:val="0"/>
      <w:marRight w:val="0"/>
      <w:marTop w:val="0"/>
      <w:marBottom w:val="0"/>
      <w:divBdr>
        <w:top w:val="none" w:sz="0" w:space="0" w:color="auto"/>
        <w:left w:val="none" w:sz="0" w:space="0" w:color="auto"/>
        <w:bottom w:val="none" w:sz="0" w:space="0" w:color="auto"/>
        <w:right w:val="none" w:sz="0" w:space="0" w:color="auto"/>
      </w:divBdr>
    </w:div>
    <w:div w:id="1376463605">
      <w:bodyDiv w:val="1"/>
      <w:marLeft w:val="0"/>
      <w:marRight w:val="0"/>
      <w:marTop w:val="0"/>
      <w:marBottom w:val="0"/>
      <w:divBdr>
        <w:top w:val="none" w:sz="0" w:space="0" w:color="auto"/>
        <w:left w:val="none" w:sz="0" w:space="0" w:color="auto"/>
        <w:bottom w:val="none" w:sz="0" w:space="0" w:color="auto"/>
        <w:right w:val="none" w:sz="0" w:space="0" w:color="auto"/>
      </w:divBdr>
    </w:div>
    <w:div w:id="1926068778">
      <w:bodyDiv w:val="1"/>
      <w:marLeft w:val="0"/>
      <w:marRight w:val="0"/>
      <w:marTop w:val="0"/>
      <w:marBottom w:val="0"/>
      <w:divBdr>
        <w:top w:val="none" w:sz="0" w:space="0" w:color="auto"/>
        <w:left w:val="none" w:sz="0" w:space="0" w:color="auto"/>
        <w:bottom w:val="none" w:sz="0" w:space="0" w:color="auto"/>
        <w:right w:val="none" w:sz="0" w:space="0" w:color="auto"/>
      </w:divBdr>
    </w:div>
    <w:div w:id="1970747824">
      <w:bodyDiv w:val="1"/>
      <w:marLeft w:val="0"/>
      <w:marRight w:val="0"/>
      <w:marTop w:val="0"/>
      <w:marBottom w:val="0"/>
      <w:divBdr>
        <w:top w:val="none" w:sz="0" w:space="0" w:color="auto"/>
        <w:left w:val="none" w:sz="0" w:space="0" w:color="auto"/>
        <w:bottom w:val="none" w:sz="0" w:space="0" w:color="auto"/>
        <w:right w:val="none" w:sz="0" w:space="0" w:color="auto"/>
      </w:divBdr>
    </w:div>
    <w:div w:id="2002467253">
      <w:bodyDiv w:val="1"/>
      <w:marLeft w:val="0"/>
      <w:marRight w:val="0"/>
      <w:marTop w:val="0"/>
      <w:marBottom w:val="0"/>
      <w:divBdr>
        <w:top w:val="none" w:sz="0" w:space="0" w:color="auto"/>
        <w:left w:val="none" w:sz="0" w:space="0" w:color="auto"/>
        <w:bottom w:val="none" w:sz="0" w:space="0" w:color="auto"/>
        <w:right w:val="none" w:sz="0" w:space="0" w:color="auto"/>
      </w:divBdr>
    </w:div>
    <w:div w:id="2032299933">
      <w:bodyDiv w:val="1"/>
      <w:marLeft w:val="0"/>
      <w:marRight w:val="0"/>
      <w:marTop w:val="0"/>
      <w:marBottom w:val="0"/>
      <w:divBdr>
        <w:top w:val="none" w:sz="0" w:space="0" w:color="auto"/>
        <w:left w:val="none" w:sz="0" w:space="0" w:color="auto"/>
        <w:bottom w:val="none" w:sz="0" w:space="0" w:color="auto"/>
        <w:right w:val="none" w:sz="0" w:space="0" w:color="auto"/>
      </w:divBdr>
    </w:div>
    <w:div w:id="2109038829">
      <w:bodyDiv w:val="1"/>
      <w:marLeft w:val="0"/>
      <w:marRight w:val="0"/>
      <w:marTop w:val="0"/>
      <w:marBottom w:val="0"/>
      <w:divBdr>
        <w:top w:val="none" w:sz="0" w:space="0" w:color="auto"/>
        <w:left w:val="none" w:sz="0" w:space="0" w:color="auto"/>
        <w:bottom w:val="none" w:sz="0" w:space="0" w:color="auto"/>
        <w:right w:val="none" w:sz="0" w:space="0" w:color="auto"/>
      </w:divBdr>
    </w:div>
    <w:div w:id="21456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kertilly.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kertillyinternational.com/web/home.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mila.zitnakova@crestcom.cz"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7" ma:contentTypeDescription="Create a new document." ma:contentTypeScope="" ma:versionID="ba54ac86fa32514b7de18f7e3d34337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0cf17a622c2a0e98eb65bc20358a695a"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D324D755-B27C-44A7-AE74-9DCC544A0D65}">
  <ds:schemaRefs>
    <ds:schemaRef ds:uri="http://schemas.openxmlformats.org/officeDocument/2006/bibliography"/>
  </ds:schemaRefs>
</ds:datastoreItem>
</file>

<file path=customXml/itemProps2.xml><?xml version="1.0" encoding="utf-8"?>
<ds:datastoreItem xmlns:ds="http://schemas.openxmlformats.org/officeDocument/2006/customXml" ds:itemID="{CC8FF66F-A157-442A-8009-5FD2957D1C07}">
  <ds:schemaRefs>
    <ds:schemaRef ds:uri="http://schemas.microsoft.com/sharepoint/v3/contenttype/forms"/>
  </ds:schemaRefs>
</ds:datastoreItem>
</file>

<file path=customXml/itemProps3.xml><?xml version="1.0" encoding="utf-8"?>
<ds:datastoreItem xmlns:ds="http://schemas.openxmlformats.org/officeDocument/2006/customXml" ds:itemID="{C93AA623-DF1C-419B-AF75-233BA4F6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7E4DF-B34A-40D8-9B4C-46486313516F}">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705</Words>
  <Characters>4165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Linhartová</dc:creator>
  <cp:keywords/>
  <dc:description/>
  <cp:lastModifiedBy>Vendula Pavlíčková</cp:lastModifiedBy>
  <cp:revision>25</cp:revision>
  <cp:lastPrinted>2026-04-13T10:59:00Z</cp:lastPrinted>
  <dcterms:created xsi:type="dcterms:W3CDTF">2024-07-15T12:33:00Z</dcterms:created>
  <dcterms:modified xsi:type="dcterms:W3CDTF">2026-04-23T05:19:00Z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